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142"/>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Our Professional Learning Community</w:t>
      </w:r>
      <w:r w:rsidDel="00000000" w:rsidR="00000000" w:rsidRPr="00000000">
        <w:drawing>
          <wp:anchor allowOverlap="1" behindDoc="0" distB="0" distT="0" distL="114300" distR="114300" hidden="0" layoutInCell="1" locked="0" relativeHeight="0" simplePos="0">
            <wp:simplePos x="0" y="0"/>
            <wp:positionH relativeFrom="column">
              <wp:posOffset>170180</wp:posOffset>
            </wp:positionH>
            <wp:positionV relativeFrom="paragraph">
              <wp:posOffset>-4443</wp:posOffset>
            </wp:positionV>
            <wp:extent cx="1467217" cy="937388"/>
            <wp:effectExtent b="0" l="0" r="0" t="0"/>
            <wp:wrapNone/>
            <wp:docPr descr="\\DC1\Home$\Staff\Office_Admin\Denise\Desktop\Robyn and Emily.JPG" id="1" name="image1.jpg"/>
            <a:graphic>
              <a:graphicData uri="http://schemas.openxmlformats.org/drawingml/2006/picture">
                <pic:pic>
                  <pic:nvPicPr>
                    <pic:cNvPr descr="\\DC1\Home$\Staff\Office_Admin\Denise\Desktop\Robyn and Emily.JPG" id="0" name="image1.jpg"/>
                    <pic:cNvPicPr preferRelativeResize="0"/>
                  </pic:nvPicPr>
                  <pic:blipFill>
                    <a:blip r:embed="rId6"/>
                    <a:srcRect b="0" l="0" r="0" t="0"/>
                    <a:stretch>
                      <a:fillRect/>
                    </a:stretch>
                  </pic:blipFill>
                  <pic:spPr>
                    <a:xfrm>
                      <a:off x="0" y="0"/>
                      <a:ext cx="1467217" cy="937388"/>
                    </a:xfrm>
                    <a:prstGeom prst="rect"/>
                    <a:ln/>
                  </pic:spPr>
                </pic:pic>
              </a:graphicData>
            </a:graphic>
          </wp:anchor>
        </w:drawing>
      </w:r>
    </w:p>
    <w:p w:rsidR="00000000" w:rsidDel="00000000" w:rsidP="00000000" w:rsidRDefault="00000000" w:rsidRPr="00000000" w14:paraId="00000002">
      <w:pPr>
        <w:widowControl w:val="0"/>
        <w:ind w:left="-142"/>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3">
      <w:pPr>
        <w:widowControl w:val="0"/>
        <w:ind w:left="-14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“He aha te mea nui i tenei ao?</w:t>
      </w:r>
    </w:p>
    <w:p w:rsidR="00000000" w:rsidDel="00000000" w:rsidP="00000000" w:rsidRDefault="00000000" w:rsidRPr="00000000" w14:paraId="00000004">
      <w:pPr>
        <w:widowControl w:val="0"/>
        <w:ind w:left="-14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He tangata, he tangata, he tangata.”</w:t>
      </w:r>
      <w:r w:rsidDel="00000000" w:rsidR="00000000" w:rsidRPr="00000000">
        <w:rPr>
          <w:rFonts w:ascii="Times New Roman" w:cs="Times New Roman" w:eastAsia="Times New Roman" w:hAnsi="Times New Roman"/>
          <w:color w:val="000000"/>
          <w:sz w:val="2"/>
          <w:szCs w:val="2"/>
          <w:highlight w:val="black"/>
          <w:rtl w:val="0"/>
        </w:rPr>
        <w:t xml:space="preserve"> </w:t>
      </w:r>
      <w:r w:rsidDel="00000000" w:rsidR="00000000" w:rsidRPr="00000000">
        <w:rPr>
          <w:rtl w:val="0"/>
        </w:rPr>
      </w:r>
    </w:p>
    <w:p w:rsidR="00000000" w:rsidDel="00000000" w:rsidP="00000000" w:rsidRDefault="00000000" w:rsidRPr="00000000" w14:paraId="00000005">
      <w:pPr>
        <w:widowControl w:val="0"/>
        <w:ind w:left="-142"/>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6">
      <w:pPr>
        <w:widowControl w:val="0"/>
        <w:ind w:left="-14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“What is the most important thing in this world?</w:t>
      </w:r>
    </w:p>
    <w:p w:rsidR="00000000" w:rsidDel="00000000" w:rsidP="00000000" w:rsidRDefault="00000000" w:rsidRPr="00000000" w14:paraId="00000007">
      <w:pPr>
        <w:widowControl w:val="0"/>
        <w:ind w:left="-142"/>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It is people, it is people, it is people.”</w:t>
      </w:r>
    </w:p>
    <w:p w:rsidR="00000000" w:rsidDel="00000000" w:rsidP="00000000" w:rsidRDefault="00000000" w:rsidRPr="00000000" w14:paraId="00000008">
      <w:pPr>
        <w:spacing w:line="360" w:lineRule="auto"/>
        <w:ind w:left="-142"/>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9">
      <w:pPr>
        <w:ind w:lef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We have a common belief that the </w:t>
      </w:r>
      <w:r w:rsidDel="00000000" w:rsidR="00000000" w:rsidRPr="00000000">
        <w:rPr>
          <w:rFonts w:ascii="Times New Roman" w:cs="Times New Roman" w:eastAsia="Times New Roman" w:hAnsi="Times New Roman"/>
          <w:b w:val="1"/>
          <w:sz w:val="20"/>
          <w:szCs w:val="20"/>
          <w:rtl w:val="0"/>
        </w:rPr>
        <w:t xml:space="preserve">quality</w:t>
      </w:r>
      <w:r w:rsidDel="00000000" w:rsidR="00000000" w:rsidRPr="00000000">
        <w:rPr>
          <w:rFonts w:ascii="Times New Roman" w:cs="Times New Roman" w:eastAsia="Times New Roman" w:hAnsi="Times New Roman"/>
          <w:sz w:val="20"/>
          <w:szCs w:val="20"/>
          <w:rtl w:val="0"/>
        </w:rPr>
        <w:t xml:space="preserve"> of learning and teaching can be </w:t>
      </w:r>
      <w:r w:rsidDel="00000000" w:rsidR="00000000" w:rsidRPr="00000000">
        <w:rPr>
          <w:rFonts w:ascii="Times New Roman" w:cs="Times New Roman" w:eastAsia="Times New Roman" w:hAnsi="Times New Roman"/>
          <w:b w:val="1"/>
          <w:sz w:val="20"/>
          <w:szCs w:val="20"/>
          <w:rtl w:val="0"/>
        </w:rPr>
        <w:t xml:space="preserve">enhanced</w:t>
      </w:r>
      <w:r w:rsidDel="00000000" w:rsidR="00000000" w:rsidRPr="00000000">
        <w:rPr>
          <w:rFonts w:ascii="Times New Roman" w:cs="Times New Roman" w:eastAsia="Times New Roman" w:hAnsi="Times New Roman"/>
          <w:sz w:val="20"/>
          <w:szCs w:val="20"/>
          <w:rtl w:val="0"/>
        </w:rPr>
        <w:t xml:space="preserve"> by teachers </w:t>
      </w:r>
      <w:r w:rsidDel="00000000" w:rsidR="00000000" w:rsidRPr="00000000">
        <w:rPr>
          <w:rFonts w:ascii="Times New Roman" w:cs="Times New Roman" w:eastAsia="Times New Roman" w:hAnsi="Times New Roman"/>
          <w:color w:val="0000ff"/>
          <w:sz w:val="20"/>
          <w:szCs w:val="20"/>
          <w:rtl w:val="0"/>
        </w:rPr>
        <w:t xml:space="preserve">working</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color w:val="0000ff"/>
          <w:sz w:val="20"/>
          <w:szCs w:val="20"/>
          <w:rtl w:val="0"/>
        </w:rPr>
        <w:t xml:space="preserve">learning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together. </w:t>
      </w:r>
    </w:p>
    <w:p w:rsidR="00000000" w:rsidDel="00000000" w:rsidP="00000000" w:rsidRDefault="00000000" w:rsidRPr="00000000" w14:paraId="0000000A">
      <w:pPr>
        <w:ind w:left="-14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key purpose of our PLC is to enhance staff effectiveness as professionals, to benefit pupils.</w:t>
      </w:r>
    </w:p>
    <w:p w:rsidR="00000000" w:rsidDel="00000000" w:rsidP="00000000" w:rsidRDefault="00000000" w:rsidRPr="00000000" w14:paraId="0000000B">
      <w:pPr>
        <w:ind w:left="-142"/>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C">
      <w:pPr>
        <w:spacing w:line="360" w:lineRule="auto"/>
        <w:ind w:left="-14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What does it look like?     What does it feel like?</w:t>
        <w:tab/>
        <w:t xml:space="preserve"> How will we sustain it?</w:t>
      </w:r>
    </w:p>
    <w:p w:rsidR="00000000" w:rsidDel="00000000" w:rsidP="00000000" w:rsidRDefault="00000000" w:rsidRPr="00000000" w14:paraId="0000000D">
      <w:pPr>
        <w:ind w:left="-14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 have:     </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142" w:hanging="1144.9999999999998"/>
        <w:jc w:val="both"/>
        <w:rPr>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shared vision and values </w:t>
      </w:r>
      <w:r w:rsidDel="00000000" w:rsidR="00000000" w:rsidRPr="00000000">
        <w:rPr>
          <w:rFonts w:ascii="Times New Roman" w:cs="Times New Roman" w:eastAsia="Times New Roman" w:hAnsi="Times New Roman"/>
          <w:color w:val="000000"/>
          <w:sz w:val="20"/>
          <w:szCs w:val="20"/>
          <w:rtl w:val="0"/>
        </w:rPr>
        <w:t xml:space="preserve">– staff have worked together with the students, Board and community to develop a vision and values that are directed at all students’ learning. This is regularly revisited.</w:t>
      </w:r>
      <w:r w:rsidDel="00000000" w:rsidR="00000000" w:rsidRPr="00000000">
        <w:rPr>
          <w:rtl w:val="0"/>
        </w:rPr>
      </w:r>
    </w:p>
    <w:p w:rsidR="00000000" w:rsidDel="00000000" w:rsidP="00000000" w:rsidRDefault="00000000" w:rsidRPr="00000000" w14:paraId="0000000F">
      <w:pPr>
        <w:numPr>
          <w:ilvl w:val="0"/>
          <w:numId w:val="3"/>
        </w:numPr>
        <w:ind w:left="-142" w:hanging="283"/>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Collaborative and focused on learning</w:t>
      </w:r>
      <w:r w:rsidDel="00000000" w:rsidR="00000000" w:rsidRPr="00000000">
        <w:rPr>
          <w:rFonts w:ascii="Times New Roman" w:cs="Times New Roman" w:eastAsia="Times New Roman" w:hAnsi="Times New Roman"/>
          <w:sz w:val="20"/>
          <w:szCs w:val="20"/>
          <w:rtl w:val="0"/>
        </w:rPr>
        <w:t xml:space="preserve">– we have a shared sense of responsibility for all students throughout the school. Support Staff work alongside teachers in supporting groups of students</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Information regarding learning is shared amongst support staff and teachers. Targets are set and learning is regularly monitored to keep progress and achievement focused.</w:t>
      </w:r>
      <w:r w:rsidDel="00000000" w:rsidR="00000000" w:rsidRPr="00000000">
        <w:rPr>
          <w:rtl w:val="0"/>
        </w:rPr>
      </w:r>
    </w:p>
    <w:p w:rsidR="00000000" w:rsidDel="00000000" w:rsidP="00000000" w:rsidRDefault="00000000" w:rsidRPr="00000000" w14:paraId="00000010">
      <w:pPr>
        <w:numPr>
          <w:ilvl w:val="0"/>
          <w:numId w:val="3"/>
        </w:numPr>
        <w:ind w:left="-142" w:hanging="283"/>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Reflective professional inquiry</w:t>
      </w:r>
      <w:r w:rsidDel="00000000" w:rsidR="00000000" w:rsidRPr="00000000">
        <w:rPr>
          <w:rFonts w:ascii="Times New Roman" w:cs="Times New Roman" w:eastAsia="Times New Roman" w:hAnsi="Times New Roman"/>
          <w:sz w:val="20"/>
          <w:szCs w:val="20"/>
          <w:rtl w:val="0"/>
        </w:rPr>
        <w:t xml:space="preserve">– What can we do differently to make a difference to student learning outcomes? This is at the core of our shared collaborative inquiry. Teachers within this focus on their journey reflecting on what they are doing, the results and implications for future teaching and learning. We work collaboratively not only within our own school but also within our Community of Learning (CoL) in the interest of improving student learning outcomes for all learners – including teachers. </w:t>
      </w:r>
      <w:r w:rsidDel="00000000" w:rsidR="00000000" w:rsidRPr="00000000">
        <w:rPr>
          <w:rtl w:val="0"/>
        </w:rPr>
      </w:r>
    </w:p>
    <w:p w:rsidR="00000000" w:rsidDel="00000000" w:rsidP="00000000" w:rsidRDefault="00000000" w:rsidRPr="00000000" w14:paraId="00000011">
      <w:pPr>
        <w:numPr>
          <w:ilvl w:val="0"/>
          <w:numId w:val="3"/>
        </w:numPr>
        <w:ind w:left="-142" w:hanging="283"/>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Group as well as individual professional learning is practiced and valued</w:t>
      </w:r>
      <w:r w:rsidDel="00000000" w:rsidR="00000000" w:rsidRPr="00000000">
        <w:rPr>
          <w:rFonts w:ascii="Times New Roman" w:cs="Times New Roman" w:eastAsia="Times New Roman" w:hAnsi="Times New Roman"/>
          <w:sz w:val="20"/>
          <w:szCs w:val="20"/>
          <w:rtl w:val="0"/>
        </w:rPr>
        <w:t xml:space="preserve">– Professional learning is shared. Professional development is strategically planned and informed by school development plan and performance management systems. Teachers are being mentored/coached by Principal – DP (leadership), Lead Teacher – staff, teacher –teacher, external facilitators – staff, PPLC – Principal, CoL principal -principal. We utilise strengths both within and outside the school.</w:t>
      </w:r>
      <w:r w:rsidDel="00000000" w:rsidR="00000000" w:rsidRPr="00000000">
        <w:rPr>
          <w:rtl w:val="0"/>
        </w:rPr>
      </w:r>
    </w:p>
    <w:p w:rsidR="00000000" w:rsidDel="00000000" w:rsidP="00000000" w:rsidRDefault="00000000" w:rsidRPr="00000000" w14:paraId="00000012">
      <w:pPr>
        <w:numPr>
          <w:ilvl w:val="0"/>
          <w:numId w:val="3"/>
        </w:numPr>
        <w:ind w:left="-142" w:hanging="283"/>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Inclusive of all members</w:t>
      </w:r>
      <w:r w:rsidDel="00000000" w:rsidR="00000000" w:rsidRPr="00000000">
        <w:rPr>
          <w:rFonts w:ascii="Times New Roman" w:cs="Times New Roman" w:eastAsia="Times New Roman" w:hAnsi="Times New Roman"/>
          <w:sz w:val="20"/>
          <w:szCs w:val="20"/>
          <w:rtl w:val="0"/>
        </w:rPr>
        <w:t xml:space="preserve">– All members of the PLC are valued for the contribution they bring. We are a team and we have a high trust model that works successfully. This includes Teacher Aides, Learning Support Teacher and teachers.</w:t>
      </w:r>
      <w:r w:rsidDel="00000000" w:rsidR="00000000" w:rsidRPr="00000000">
        <w:rPr>
          <w:rtl w:val="0"/>
        </w:rPr>
      </w:r>
    </w:p>
    <w:p w:rsidR="00000000" w:rsidDel="00000000" w:rsidP="00000000" w:rsidRDefault="00000000" w:rsidRPr="00000000" w14:paraId="00000013">
      <w:pPr>
        <w:numPr>
          <w:ilvl w:val="0"/>
          <w:numId w:val="3"/>
        </w:numPr>
        <w:ind w:left="-142" w:hanging="283"/>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Mutual Trust, Respect and Support</w:t>
      </w:r>
      <w:r w:rsidDel="00000000" w:rsidR="00000000" w:rsidRPr="00000000">
        <w:rPr>
          <w:rFonts w:ascii="Times New Roman" w:cs="Times New Roman" w:eastAsia="Times New Roman" w:hAnsi="Times New Roman"/>
          <w:sz w:val="20"/>
          <w:szCs w:val="20"/>
          <w:rtl w:val="0"/>
        </w:rPr>
        <w:t xml:space="preserve"> – strong professional relationships with colleagues is expected and encouraged – (we don’t need to have strong personal friendships). We do need to feel that we can confidently share practice and experience and know that our colleagues will respond professionally. ‘Challenge’ is important – but challenge with support. Challenge is interesting! (James Nottingham). We are a positive staff who collaborate, co-operate, challenge and have high expectations. Our staff is our greatest resource – to do our best we have a shared responsibility of care for each other. We are individually an important part of our team – from the cleaner – to the Principal</w:t>
      </w:r>
      <w:r w:rsidDel="00000000" w:rsidR="00000000" w:rsidRPr="00000000">
        <w:rPr>
          <w:rtl w:val="0"/>
        </w:rPr>
      </w:r>
    </w:p>
    <w:p w:rsidR="00000000" w:rsidDel="00000000" w:rsidP="00000000" w:rsidRDefault="00000000" w:rsidRPr="00000000" w14:paraId="00000014">
      <w:pPr>
        <w:ind w:lef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Leadership:</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Leadership focuses on leading learning and improving learning outcomes for every child.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Models effective practice and the values of the school - Walks the talk</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Develops a culture of intellectual quality</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Has clear strategic intent – a clear intention to move in a particular direction to achieve the schools goal or vision</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Has a proactive transformational mindset that strives for something better rather than the maintenance approach of transactional leadership</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Reads, understands  and builds  relationships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Has professional credibility</w:t>
      </w:r>
      <w:r w:rsidDel="00000000" w:rsidR="00000000" w:rsidRPr="00000000">
        <w:rPr>
          <w:rFonts w:ascii="Times New Roman" w:cs="Times New Roman" w:eastAsia="Times New Roman" w:hAnsi="Times New Roman"/>
          <w:sz w:val="20"/>
          <w:szCs w:val="20"/>
          <w:rtl w:val="0"/>
        </w:rPr>
        <w:t xml:space="preserve">, integrity and passion </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42"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Gives opportunity for others to grow their own leadership potential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4545330</wp:posOffset>
            </wp:positionH>
            <wp:positionV relativeFrom="paragraph">
              <wp:posOffset>114300</wp:posOffset>
            </wp:positionV>
            <wp:extent cx="1834515" cy="1161415"/>
            <wp:effectExtent b="0" l="0" r="0" t="0"/>
            <wp:wrapSquare wrapText="bothSides" distB="0" distT="0" distL="114300" distR="114300"/>
            <wp:docPr descr="\\DC1\Home$\Staff\Office_Admin\denise\Desktop\James Nottingham CoL 2018.JPG" id="2" name="image2.jpg"/>
            <a:graphic>
              <a:graphicData uri="http://schemas.openxmlformats.org/drawingml/2006/picture">
                <pic:pic>
                  <pic:nvPicPr>
                    <pic:cNvPr descr="\\DC1\Home$\Staff\Office_Admin\denise\Desktop\James Nottingham CoL 2018.JPG" id="0" name="image2.jpg"/>
                    <pic:cNvPicPr preferRelativeResize="0"/>
                  </pic:nvPicPr>
                  <pic:blipFill>
                    <a:blip r:embed="rId7"/>
                    <a:srcRect b="0" l="0" r="0" t="0"/>
                    <a:stretch>
                      <a:fillRect/>
                    </a:stretch>
                  </pic:blipFill>
                  <pic:spPr>
                    <a:xfrm>
                      <a:off x="0" y="0"/>
                      <a:ext cx="1834515" cy="1161415"/>
                    </a:xfrm>
                    <a:prstGeom prst="rect"/>
                    <a:ln/>
                  </pic:spPr>
                </pic:pic>
              </a:graphicData>
            </a:graphic>
          </wp:anchor>
        </w:drawing>
      </w:r>
    </w:p>
    <w:p w:rsidR="00000000" w:rsidDel="00000000" w:rsidP="00000000" w:rsidRDefault="00000000" w:rsidRPr="00000000" w14:paraId="0000001D">
      <w:pPr>
        <w:ind w:left="-142"/>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E">
      <w:pPr>
        <w:ind w:left="-14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Teachers: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131" w:hanging="360"/>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Use data to inform teaching and learning </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Value their student’s experiences, their concerns, their questions and their prior knowledge in order to engage them.</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“Dig deep and do fewer things better.” </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Have a vital role to create the conditions that encourage students to confidently voice concerns, challenges, knowledge and questions and to develop in student’s the strategies, skills and competencies to gain success. </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Will explore how ICT can supplement teaching and open up different ways of learning. </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Have high expectations.</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Have effective professional relationships with students and talk to them about their learning.</w:t>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Have a secure command of material taught and </w:t>
      </w:r>
      <w:r w:rsidDel="00000000" w:rsidR="00000000" w:rsidRPr="00000000">
        <w:rPr>
          <w:rFonts w:ascii="Times New Roman" w:cs="Times New Roman" w:eastAsia="Times New Roman" w:hAnsi="Times New Roman"/>
          <w:i w:val="1"/>
          <w:color w:val="000000"/>
          <w:sz w:val="20"/>
          <w:szCs w:val="20"/>
          <w:rtl w:val="0"/>
        </w:rPr>
        <w:t xml:space="preserve">actively</w:t>
      </w:r>
      <w:r w:rsidDel="00000000" w:rsidR="00000000" w:rsidRPr="00000000">
        <w:rPr>
          <w:rFonts w:ascii="Times New Roman" w:cs="Times New Roman" w:eastAsia="Times New Roman" w:hAnsi="Times New Roman"/>
          <w:color w:val="000000"/>
          <w:sz w:val="20"/>
          <w:szCs w:val="20"/>
          <w:rtl w:val="0"/>
        </w:rPr>
        <w:t xml:space="preserve"> teach.</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142" w:hanging="357"/>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Provide opportunities for their learners to </w:t>
      </w:r>
      <w:r w:rsidDel="00000000" w:rsidR="00000000" w:rsidRPr="00000000">
        <w:rPr>
          <w:rFonts w:ascii="Times New Roman" w:cs="Times New Roman" w:eastAsia="Times New Roman" w:hAnsi="Times New Roman"/>
          <w:sz w:val="20"/>
          <w:szCs w:val="20"/>
          <w:rtl w:val="0"/>
        </w:rPr>
        <w:t xml:space="preserve">develop  learner</w:t>
      </w:r>
      <w:r w:rsidDel="00000000" w:rsidR="00000000" w:rsidRPr="00000000">
        <w:rPr>
          <w:rFonts w:ascii="Times New Roman" w:cs="Times New Roman" w:eastAsia="Times New Roman" w:hAnsi="Times New Roman"/>
          <w:color w:val="000000"/>
          <w:sz w:val="20"/>
          <w:szCs w:val="20"/>
          <w:rtl w:val="0"/>
        </w:rPr>
        <w:t xml:space="preserve"> agency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a growth mindset and resilience in learning. </w:t>
      </w:r>
      <w:r w:rsidDel="00000000" w:rsidR="00000000" w:rsidRPr="00000000">
        <w:rPr>
          <w:rtl w:val="0"/>
        </w:rPr>
      </w:r>
    </w:p>
    <w:p w:rsidR="00000000" w:rsidDel="00000000" w:rsidP="00000000" w:rsidRDefault="00000000" w:rsidRPr="00000000" w14:paraId="00000028">
      <w:pPr>
        <w:numPr>
          <w:ilvl w:val="0"/>
          <w:numId w:val="2"/>
        </w:numPr>
        <w:ind w:left="-142" w:hanging="357"/>
        <w:jc w:val="both"/>
        <w:rPr>
          <w:sz w:val="20"/>
          <w:szCs w:val="20"/>
        </w:rPr>
      </w:pPr>
      <w:r w:rsidDel="00000000" w:rsidR="00000000" w:rsidRPr="00000000">
        <w:rPr>
          <w:rFonts w:ascii="Times New Roman" w:cs="Times New Roman" w:eastAsia="Times New Roman" w:hAnsi="Times New Roman"/>
          <w:sz w:val="20"/>
          <w:szCs w:val="20"/>
          <w:rtl w:val="0"/>
        </w:rPr>
        <w:t xml:space="preserve">Undertake an inquiry into the interaction between their actions and student outcomes and reflect on what they can do/change to improve student learning outcomes.</w:t>
      </w:r>
      <w:r w:rsidDel="00000000" w:rsidR="00000000" w:rsidRPr="00000000">
        <w:rPr>
          <w:rtl w:val="0"/>
        </w:rPr>
      </w:r>
    </w:p>
    <w:p w:rsidR="00000000" w:rsidDel="00000000" w:rsidP="00000000" w:rsidRDefault="00000000" w:rsidRPr="00000000" w14:paraId="00000029">
      <w:pPr>
        <w:numPr>
          <w:ilvl w:val="0"/>
          <w:numId w:val="2"/>
        </w:numPr>
        <w:ind w:left="-142" w:hanging="357"/>
        <w:jc w:val="both"/>
        <w:rPr>
          <w:sz w:val="20"/>
          <w:szCs w:val="20"/>
        </w:rPr>
      </w:pPr>
      <w:r w:rsidDel="00000000" w:rsidR="00000000" w:rsidRPr="00000000">
        <w:rPr>
          <w:rFonts w:ascii="Times New Roman" w:cs="Times New Roman" w:eastAsia="Times New Roman" w:hAnsi="Times New Roman"/>
          <w:sz w:val="20"/>
          <w:szCs w:val="20"/>
          <w:rtl w:val="0"/>
        </w:rPr>
        <w:t xml:space="preserve">Seek out sources (colleagues/research) that will help inform the choices they make.</w:t>
      </w:r>
      <w:r w:rsidDel="00000000" w:rsidR="00000000" w:rsidRPr="00000000">
        <w:rPr>
          <w:rtl w:val="0"/>
        </w:rPr>
      </w:r>
    </w:p>
    <w:p w:rsidR="00000000" w:rsidDel="00000000" w:rsidP="00000000" w:rsidRDefault="00000000" w:rsidRPr="00000000" w14:paraId="0000002A">
      <w:pPr>
        <w:numPr>
          <w:ilvl w:val="0"/>
          <w:numId w:val="2"/>
        </w:numPr>
        <w:ind w:left="-142" w:hanging="357"/>
        <w:jc w:val="both"/>
        <w:rPr>
          <w:sz w:val="20"/>
          <w:szCs w:val="20"/>
        </w:rPr>
      </w:pPr>
      <w:r w:rsidDel="00000000" w:rsidR="00000000" w:rsidRPr="00000000">
        <w:rPr>
          <w:rFonts w:ascii="Times New Roman" w:cs="Times New Roman" w:eastAsia="Times New Roman" w:hAnsi="Times New Roman"/>
          <w:sz w:val="20"/>
          <w:szCs w:val="20"/>
          <w:rtl w:val="0"/>
        </w:rPr>
        <w:t xml:space="preserve">Know that they can’t make a child change – but teachers can change their  actions which make a difference for the child</w:t>
      </w:r>
      <w:r w:rsidDel="00000000" w:rsidR="00000000" w:rsidRPr="00000000">
        <w:rPr>
          <w:rtl w:val="0"/>
        </w:rPr>
      </w:r>
    </w:p>
    <w:p w:rsidR="00000000" w:rsidDel="00000000" w:rsidP="00000000" w:rsidRDefault="00000000" w:rsidRPr="00000000" w14:paraId="0000002B">
      <w:pPr>
        <w:numPr>
          <w:ilvl w:val="0"/>
          <w:numId w:val="2"/>
        </w:numPr>
        <w:ind w:left="-142" w:hanging="357"/>
        <w:jc w:val="both"/>
        <w:rPr>
          <w:sz w:val="20"/>
          <w:szCs w:val="20"/>
        </w:rPr>
      </w:pPr>
      <w:r w:rsidDel="00000000" w:rsidR="00000000" w:rsidRPr="00000000">
        <w:rPr>
          <w:rFonts w:ascii="Times New Roman" w:cs="Times New Roman" w:eastAsia="Times New Roman" w:hAnsi="Times New Roman"/>
          <w:sz w:val="20"/>
          <w:szCs w:val="20"/>
          <w:rtl w:val="0"/>
        </w:rPr>
        <w:t xml:space="preserve">Turn a problem into a challenge and turn a challenge into an opportunity.</w:t>
      </w:r>
      <w:r w:rsidDel="00000000" w:rsidR="00000000" w:rsidRPr="00000000">
        <w:rPr>
          <w:rtl w:val="0"/>
        </w:rPr>
      </w:r>
    </w:p>
    <w:p w:rsidR="00000000" w:rsidDel="00000000" w:rsidP="00000000" w:rsidRDefault="00000000" w:rsidRPr="00000000" w14:paraId="0000002C">
      <w:pPr>
        <w:ind w:left="-142" w:hanging="1144.999999999999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ind w:left="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pedagogy requires that teachers inquire into the impact of their teaching on their students i.e. reflective practitioners. The central issue for teachers is improvement in effectiveness.</w:t>
      </w:r>
    </w:p>
    <w:p w:rsidR="00000000" w:rsidDel="00000000" w:rsidP="00000000" w:rsidRDefault="00000000" w:rsidRPr="00000000" w14:paraId="0000002E">
      <w:pPr>
        <w:ind w:left="-142"/>
        <w:rPr>
          <w:rFonts w:ascii="Times New Roman" w:cs="Times New Roman" w:eastAsia="Times New Roman" w:hAnsi="Times New Roman"/>
          <w:b w:val="1"/>
          <w:i w:val="1"/>
          <w:sz w:val="12"/>
          <w:szCs w:val="12"/>
        </w:rPr>
      </w:pPr>
      <w:r w:rsidDel="00000000" w:rsidR="00000000" w:rsidRPr="00000000">
        <w:rPr>
          <w:rtl w:val="0"/>
        </w:rPr>
      </w:r>
    </w:p>
    <w:p w:rsidR="00000000" w:rsidDel="00000000" w:rsidP="00000000" w:rsidRDefault="00000000" w:rsidRPr="00000000" w14:paraId="0000002F">
      <w:pPr>
        <w:ind w:left="-142"/>
        <w:rPr>
          <w:rFonts w:ascii="Times New Roman" w:cs="Times New Roman" w:eastAsia="Times New Roman" w:hAnsi="Times New Roman"/>
          <w:b w:val="1"/>
          <w:i w:val="1"/>
          <w:sz w:val="12"/>
          <w:szCs w:val="12"/>
        </w:rPr>
      </w:pPr>
      <w:r w:rsidDel="00000000" w:rsidR="00000000" w:rsidRPr="00000000">
        <w:rPr>
          <w:rtl w:val="0"/>
        </w:rPr>
      </w:r>
    </w:p>
    <w:p w:rsidR="00000000" w:rsidDel="00000000" w:rsidP="00000000" w:rsidRDefault="00000000" w:rsidRPr="00000000" w14:paraId="00000030">
      <w:pPr>
        <w:ind w:left="-14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If you always do what you’ve always done – you’ll always get what you’ve always got</w:t>
      </w:r>
      <w:r w:rsidDel="00000000" w:rsidR="00000000" w:rsidRPr="00000000">
        <w:rPr>
          <w:rFonts w:ascii="Times New Roman" w:cs="Times New Roman" w:eastAsia="Times New Roman" w:hAnsi="Times New Roman"/>
          <w:b w:val="1"/>
          <w:sz w:val="20"/>
          <w:szCs w:val="20"/>
          <w:rtl w:val="0"/>
        </w:rPr>
        <w:t xml:space="preserve">!</w:t>
      </w:r>
    </w:p>
    <w:sectPr>
      <w:pgSz w:h="16838" w:w="11906"/>
      <w:pgMar w:bottom="284" w:top="567" w:left="992"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2">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ind w:left="-851"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